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FD0" w:rsidRPr="00716FD0" w:rsidRDefault="00716FD0" w:rsidP="00716FD0">
      <w:pPr>
        <w:spacing w:line="360" w:lineRule="auto"/>
        <w:rPr>
          <w:rFonts w:ascii="Times New Roman" w:hAnsi="Times New Roman"/>
        </w:rPr>
      </w:pPr>
      <w:r w:rsidRPr="00716FD0">
        <w:rPr>
          <w:rFonts w:ascii="Times New Roman" w:hAnsi="Times New Roman"/>
        </w:rPr>
        <w:t xml:space="preserve">Zgodnie z art. 37 ust. 1 pkt 1 ustawy o finansach publicznych,  Zarząd Powiatu Drawskiego podaje </w:t>
      </w:r>
      <w:r w:rsidRPr="00716FD0">
        <w:rPr>
          <w:rFonts w:ascii="Times New Roman" w:hAnsi="Times New Roman"/>
        </w:rPr>
        <w:br/>
        <w:t>do publicznej wiadomości,  następującą  informację:</w:t>
      </w:r>
    </w:p>
    <w:p w:rsidR="00716FD0" w:rsidRDefault="00716FD0" w:rsidP="00716FD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O C H O D Y  -  I KWARTAŁ  202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roku</w:t>
      </w:r>
      <w:r>
        <w:rPr>
          <w:b/>
          <w:sz w:val="24"/>
          <w:szCs w:val="24"/>
        </w:rPr>
        <w:tab/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120.671.147,99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dochody majątkowe, kwota: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11.978.864,76</w:t>
      </w:r>
    </w:p>
    <w:p w:rsidR="00716FD0" w:rsidRDefault="00716FD0" w:rsidP="00716F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tym: dochody ze sprzedaży majątku: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15.000,00</w:t>
      </w:r>
      <w:r>
        <w:rPr>
          <w:sz w:val="24"/>
          <w:szCs w:val="24"/>
        </w:rPr>
        <w:t xml:space="preserve">      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dochodów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36.159.586,93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 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dochodów majątkowych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2.725,27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716FD0" w:rsidRDefault="00716FD0" w:rsidP="00716F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dochody ze sprzedaży majątku: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2.725,27</w:t>
      </w:r>
    </w:p>
    <w:p w:rsidR="00716FD0" w:rsidRDefault="00716FD0" w:rsidP="00716FD0">
      <w:pPr>
        <w:spacing w:line="240" w:lineRule="auto"/>
        <w:rPr>
          <w:b/>
          <w:sz w:val="24"/>
          <w:szCs w:val="24"/>
          <w:u w:val="single"/>
        </w:rPr>
      </w:pPr>
    </w:p>
    <w:p w:rsidR="00716FD0" w:rsidRDefault="00716FD0" w:rsidP="00716FD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D A T K I  -  I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KWARTAŁ 202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roku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122.443.888,29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wydatki majątkowe, kwota:                               </w:t>
      </w:r>
      <w:r>
        <w:rPr>
          <w:b/>
          <w:sz w:val="24"/>
          <w:szCs w:val="24"/>
        </w:rPr>
        <w:t xml:space="preserve"> 17.559.145,20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31.370.908,57</w:t>
      </w:r>
    </w:p>
    <w:p w:rsidR="00716FD0" w:rsidRDefault="00716FD0" w:rsidP="00716F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341.779,10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</w:p>
    <w:p w:rsidR="00716FD0" w:rsidRDefault="00716FD0" w:rsidP="00716FD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deficyt, kwota: - </w:t>
      </w:r>
      <w:r>
        <w:rPr>
          <w:b/>
          <w:sz w:val="24"/>
          <w:szCs w:val="24"/>
        </w:rPr>
        <w:t>1.772.740,30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I kwartał: nadwyżka, kwota:  </w:t>
      </w:r>
      <w:r>
        <w:rPr>
          <w:b/>
          <w:sz w:val="24"/>
          <w:szCs w:val="24"/>
        </w:rPr>
        <w:t>4.788.678,36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I kwartale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 nie umarzano należności budżetowych.</w:t>
      </w:r>
    </w:p>
    <w:p w:rsidR="00716FD0" w:rsidRDefault="00716FD0" w:rsidP="00716FD0">
      <w:pPr>
        <w:spacing w:line="240" w:lineRule="auto"/>
        <w:rPr>
          <w:b/>
          <w:sz w:val="24"/>
          <w:szCs w:val="24"/>
        </w:rPr>
      </w:pPr>
    </w:p>
    <w:p w:rsidR="00BC0F4E" w:rsidRDefault="00BC0F4E"/>
    <w:sectPr w:rsidR="00BC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0"/>
    <w:rsid w:val="00716FD0"/>
    <w:rsid w:val="0089260B"/>
    <w:rsid w:val="00B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44A"/>
  <w15:chartTrackingRefBased/>
  <w15:docId w15:val="{5C0AA695-69BD-4CB7-B6C4-1E0B9A3B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D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dc:description/>
  <cp:lastModifiedBy>JoannaK</cp:lastModifiedBy>
  <cp:revision>1</cp:revision>
  <dcterms:created xsi:type="dcterms:W3CDTF">2023-05-19T12:04:00Z</dcterms:created>
  <dcterms:modified xsi:type="dcterms:W3CDTF">2023-05-19T12:12:00Z</dcterms:modified>
</cp:coreProperties>
</file>