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82" w:rsidRDefault="00153E82" w:rsidP="00153E82">
      <w:pPr>
        <w:rPr>
          <w:rFonts w:ascii="Verdana" w:hAnsi="Verdana" w:cs="Helvetica"/>
          <w:b/>
          <w:bCs/>
          <w:color w:val="504E4D"/>
          <w:sz w:val="21"/>
          <w:szCs w:val="21"/>
        </w:rPr>
      </w:pPr>
      <w:r>
        <w:rPr>
          <w:rFonts w:ascii="Verdana" w:hAnsi="Verdana" w:cs="Helvetica"/>
          <w:b/>
          <w:bCs/>
          <w:color w:val="504E4D"/>
          <w:sz w:val="21"/>
          <w:szCs w:val="21"/>
        </w:rPr>
        <w:t xml:space="preserve">W związku z wejściem w życie nowelizacji ustawy Prawo o stowarzyszeniach, członkowie stowarzyszeń mogą już zacząć zastanawiać się nad wyznaczeniem pełnomocników podpisujących umowy z członkami zarządu. Wymóg posiadania takiego pełnomocnika zacznie obowiązywać pod koniec maja. O pełnomocnika niełatwo! Jest on wskazywany przez walne zebranie. </w:t>
      </w:r>
    </w:p>
    <w:p w:rsidR="00153E82" w:rsidRDefault="00153E82" w:rsidP="00153E82">
      <w:pPr>
        <w:spacing w:after="240"/>
        <w:rPr>
          <w:rFonts w:ascii="Verdana" w:hAnsi="Verdana" w:cs="Helvetica"/>
          <w:color w:val="504E4D"/>
          <w:sz w:val="19"/>
          <w:szCs w:val="19"/>
        </w:rPr>
      </w:pPr>
      <w:r>
        <w:rPr>
          <w:rFonts w:ascii="Verdana" w:hAnsi="Verdana" w:cs="Helvetica"/>
          <w:color w:val="504E4D"/>
          <w:sz w:val="19"/>
          <w:szCs w:val="19"/>
        </w:rPr>
        <w:t xml:space="preserve">Ustawa o zmianie ustawy – Prawo o stowarzyszeniach wchodzi w życie – większość jej przepisów - już 20 maja 2016 r. (zobacz: </w:t>
      </w:r>
      <w:hyperlink r:id="rId4" w:tgtFrame="_blank" w:history="1">
        <w:r>
          <w:rPr>
            <w:rStyle w:val="Hipercze"/>
            <w:rFonts w:ascii="Verdana" w:hAnsi="Verdana" w:cs="Helvetica"/>
            <w:sz w:val="19"/>
            <w:szCs w:val="19"/>
          </w:rPr>
          <w:t>"Publikacja nowelizacji stowarzyszeń. Znamy daty wejścia w życie").</w:t>
        </w:r>
      </w:hyperlink>
      <w:r>
        <w:rPr>
          <w:rFonts w:ascii="Verdana" w:hAnsi="Verdana" w:cs="Helvetica"/>
          <w:color w:val="504E4D"/>
          <w:sz w:val="19"/>
          <w:szCs w:val="19"/>
        </w:rPr>
        <w:t xml:space="preserve"> Pełnomocnicy nie muszą być potrzebni w stowarzyszeniach od razu, bo nie od razu musi pojawić się konieczność podpisania z członkiem zarządu nowej umowy (lub aneksu do jakiejś wcześniejszej). Jeśli z wybraniem pełnomocnika, a właściwie ze zwołaniem walnego zebrania, będziemy mieli kłopot, rozwiązaniem może być też skorzystanie z pomocy członków komisji rewizyjnej. Przyjrzyjmy się bliżej przepisom wprowadzającym nową zasadę dotyczącą umów i sporów z członkami zarządu.</w:t>
      </w:r>
    </w:p>
    <w:p w:rsidR="00153E82" w:rsidRDefault="00153E82" w:rsidP="00153E82">
      <w:pPr>
        <w:pStyle w:val="Nagwek5"/>
        <w:rPr>
          <w:rFonts w:ascii="Verdana" w:hAnsi="Verdana" w:cs="Helvetica"/>
          <w:color w:val="504E4D"/>
          <w:sz w:val="19"/>
          <w:szCs w:val="19"/>
        </w:rPr>
      </w:pPr>
      <w:r>
        <w:rPr>
          <w:rFonts w:ascii="Verdana" w:hAnsi="Verdana" w:cs="Helvetica"/>
          <w:color w:val="504E4D"/>
          <w:sz w:val="19"/>
          <w:szCs w:val="19"/>
        </w:rPr>
        <w:t>Umowy z członkami zarządu po nowemu</w:t>
      </w:r>
    </w:p>
    <w:p w:rsidR="00153E82" w:rsidRDefault="00153E82" w:rsidP="00153E82">
      <w:pPr>
        <w:spacing w:after="240"/>
        <w:rPr>
          <w:rFonts w:ascii="Verdana" w:hAnsi="Verdana" w:cs="Helvetica"/>
          <w:color w:val="504E4D"/>
          <w:sz w:val="19"/>
          <w:szCs w:val="19"/>
        </w:rPr>
      </w:pPr>
      <w:r>
        <w:rPr>
          <w:rFonts w:ascii="Verdana" w:hAnsi="Verdana" w:cs="Helvetica"/>
          <w:color w:val="504E4D"/>
          <w:sz w:val="19"/>
          <w:szCs w:val="19"/>
        </w:rPr>
        <w:t>Nowelizacja, która wchodzi w życie 20 maja, dodała do ustawy - Prawo o stowarzyszeniach nowy ustęp w artykule 11. Artykuł 11 opisuje władze stowarzyszenia. Dodany w tym artykule ustęp 4 brzmi następująco:</w:t>
      </w:r>
    </w:p>
    <w:p w:rsidR="00153E82" w:rsidRDefault="00153E82" w:rsidP="00153E82">
      <w:pPr>
        <w:spacing w:after="240"/>
        <w:rPr>
          <w:rFonts w:ascii="Verdana" w:hAnsi="Verdana" w:cs="Helvetica"/>
          <w:color w:val="504E4D"/>
          <w:sz w:val="19"/>
          <w:szCs w:val="19"/>
        </w:rPr>
      </w:pPr>
      <w:r>
        <w:rPr>
          <w:rFonts w:ascii="Verdana" w:hAnsi="Verdana" w:cs="Helvetica"/>
          <w:color w:val="504E4D"/>
          <w:sz w:val="19"/>
          <w:szCs w:val="19"/>
        </w:rPr>
        <w:t xml:space="preserve">"W umowach między stowarzyszeniem a członkiem zarządu oraz w sporach z nim stowarzyszenie reprezentuje </w:t>
      </w:r>
      <w:r>
        <w:rPr>
          <w:rStyle w:val="Pogrubienie"/>
          <w:rFonts w:ascii="Verdana" w:hAnsi="Verdana" w:cs="Helvetica"/>
          <w:color w:val="504E4D"/>
          <w:sz w:val="19"/>
          <w:szCs w:val="19"/>
        </w:rPr>
        <w:t>członek organu kontroli wewnętrznej</w:t>
      </w:r>
      <w:r>
        <w:rPr>
          <w:rFonts w:ascii="Verdana" w:hAnsi="Verdana" w:cs="Helvetica"/>
          <w:color w:val="504E4D"/>
          <w:sz w:val="19"/>
          <w:szCs w:val="19"/>
        </w:rPr>
        <w:t xml:space="preserve"> wskazany w uchwale tego organu lub </w:t>
      </w:r>
      <w:r>
        <w:rPr>
          <w:rStyle w:val="Pogrubienie"/>
          <w:rFonts w:ascii="Verdana" w:hAnsi="Verdana" w:cs="Helvetica"/>
          <w:color w:val="504E4D"/>
          <w:sz w:val="19"/>
          <w:szCs w:val="19"/>
        </w:rPr>
        <w:t>pełnomocnik powołany uchwałą walnego zebrania członków</w:t>
      </w:r>
      <w:r>
        <w:rPr>
          <w:rFonts w:ascii="Verdana" w:hAnsi="Verdana" w:cs="Helvetica"/>
          <w:color w:val="504E4D"/>
          <w:sz w:val="19"/>
          <w:szCs w:val="19"/>
        </w:rPr>
        <w:t xml:space="preserve"> (zebrania delegatów)."</w:t>
      </w:r>
      <w:r>
        <w:rPr>
          <w:rFonts w:ascii="Verdana" w:hAnsi="Verdana" w:cs="Helvetica"/>
          <w:color w:val="504E4D"/>
          <w:sz w:val="19"/>
          <w:szCs w:val="19"/>
        </w:rPr>
        <w:br/>
      </w:r>
    </w:p>
    <w:p w:rsidR="00153E82" w:rsidRDefault="00153E82" w:rsidP="00153E82">
      <w:pPr>
        <w:spacing w:after="240"/>
        <w:rPr>
          <w:rFonts w:ascii="Verdana" w:hAnsi="Verdana" w:cs="Helvetica"/>
          <w:color w:val="504E4D"/>
          <w:sz w:val="19"/>
          <w:szCs w:val="19"/>
        </w:rPr>
      </w:pPr>
      <w:r>
        <w:rPr>
          <w:rFonts w:ascii="Verdana" w:hAnsi="Verdana" w:cs="Helvetica"/>
          <w:color w:val="504E4D"/>
          <w:sz w:val="19"/>
          <w:szCs w:val="19"/>
        </w:rPr>
        <w:t xml:space="preserve">Zapis z nowego ustępu 4 w art. 11 nie był elementem pierwotnego projektu przygotowanego w kancelarii Prezydenta. Pojawił się podczas prac podkomisji sejmowej zajmującej się projektem – nie </w:t>
      </w:r>
      <w:proofErr w:type="gramStart"/>
      <w:r>
        <w:rPr>
          <w:rFonts w:ascii="Verdana" w:hAnsi="Verdana" w:cs="Helvetica"/>
          <w:color w:val="504E4D"/>
          <w:sz w:val="19"/>
          <w:szCs w:val="19"/>
        </w:rPr>
        <w:t>jest więc</w:t>
      </w:r>
      <w:proofErr w:type="gramEnd"/>
      <w:r>
        <w:rPr>
          <w:rFonts w:ascii="Verdana" w:hAnsi="Verdana" w:cs="Helvetica"/>
          <w:color w:val="504E4D"/>
          <w:sz w:val="19"/>
          <w:szCs w:val="19"/>
        </w:rPr>
        <w:t xml:space="preserve"> opisany w uzasadnieniu. Zgłaszającym tę propozycję chodziło m.in. o uniknięcie kłopotliwej i nie do końca </w:t>
      </w:r>
      <w:proofErr w:type="gramStart"/>
      <w:r>
        <w:rPr>
          <w:rFonts w:ascii="Verdana" w:hAnsi="Verdana" w:cs="Helvetica"/>
          <w:color w:val="504E4D"/>
          <w:sz w:val="19"/>
          <w:szCs w:val="19"/>
        </w:rPr>
        <w:t>przejrzystej (jeśli</w:t>
      </w:r>
      <w:proofErr w:type="gramEnd"/>
      <w:r>
        <w:rPr>
          <w:rFonts w:ascii="Verdana" w:hAnsi="Verdana" w:cs="Helvetica"/>
          <w:color w:val="504E4D"/>
          <w:sz w:val="19"/>
          <w:szCs w:val="19"/>
        </w:rPr>
        <w:t xml:space="preserve"> akceptujemy wysokie standardy, w ramach których powinny działać organizacje społeczne) sytuacji, kiedy członkowie zarządu zmuszeni są niejako do podpisywania umów sami ze sobą - tzn. najczęściej między sobą.</w:t>
      </w:r>
    </w:p>
    <w:p w:rsidR="00153E82" w:rsidRDefault="00153E82" w:rsidP="00153E82">
      <w:pPr>
        <w:pStyle w:val="Nagwek5"/>
        <w:rPr>
          <w:rFonts w:ascii="Verdana" w:hAnsi="Verdana" w:cs="Helvetica"/>
          <w:color w:val="504E4D"/>
          <w:sz w:val="19"/>
          <w:szCs w:val="19"/>
        </w:rPr>
      </w:pPr>
      <w:r>
        <w:rPr>
          <w:rFonts w:ascii="Verdana" w:hAnsi="Verdana" w:cs="Helvetica"/>
          <w:color w:val="504E4D"/>
          <w:sz w:val="19"/>
          <w:szCs w:val="19"/>
        </w:rPr>
        <w:t xml:space="preserve">Zakres </w:t>
      </w:r>
      <w:proofErr w:type="gramStart"/>
      <w:r>
        <w:rPr>
          <w:rFonts w:ascii="Verdana" w:hAnsi="Verdana" w:cs="Helvetica"/>
          <w:color w:val="504E4D"/>
          <w:sz w:val="19"/>
          <w:szCs w:val="19"/>
        </w:rPr>
        <w:t>przepisu – jakie</w:t>
      </w:r>
      <w:proofErr w:type="gramEnd"/>
      <w:r>
        <w:rPr>
          <w:rFonts w:ascii="Verdana" w:hAnsi="Verdana" w:cs="Helvetica"/>
          <w:color w:val="504E4D"/>
          <w:sz w:val="19"/>
          <w:szCs w:val="19"/>
        </w:rPr>
        <w:t xml:space="preserve"> umowy</w:t>
      </w:r>
    </w:p>
    <w:p w:rsidR="00153E82" w:rsidRDefault="00153E82" w:rsidP="00153E82">
      <w:pPr>
        <w:spacing w:after="240"/>
        <w:rPr>
          <w:rFonts w:ascii="Verdana" w:hAnsi="Verdana" w:cs="Helvetica"/>
          <w:color w:val="504E4D"/>
          <w:sz w:val="19"/>
          <w:szCs w:val="19"/>
        </w:rPr>
      </w:pPr>
      <w:r>
        <w:rPr>
          <w:rFonts w:ascii="Verdana" w:hAnsi="Verdana" w:cs="Helvetica"/>
          <w:color w:val="504E4D"/>
          <w:sz w:val="19"/>
          <w:szCs w:val="19"/>
        </w:rPr>
        <w:t xml:space="preserve">Dodany do art. 11 ustęp 4 mówi o umowach i sporach. Należy przez to rozumieć wszystkie umowy (i aneksy do umów), jakie zawrą między sobą stowarzyszenie i członek zarządu po wejściu w życie nowych przepisów. Będzie </w:t>
      </w:r>
      <w:proofErr w:type="gramStart"/>
      <w:r>
        <w:rPr>
          <w:rFonts w:ascii="Verdana" w:hAnsi="Verdana" w:cs="Helvetica"/>
          <w:color w:val="504E4D"/>
          <w:sz w:val="19"/>
          <w:szCs w:val="19"/>
        </w:rPr>
        <w:t>to więc</w:t>
      </w:r>
      <w:proofErr w:type="gramEnd"/>
      <w:r>
        <w:rPr>
          <w:rFonts w:ascii="Verdana" w:hAnsi="Verdana" w:cs="Helvetica"/>
          <w:color w:val="504E4D"/>
          <w:sz w:val="19"/>
          <w:szCs w:val="19"/>
        </w:rPr>
        <w:t xml:space="preserve"> np. zarówno umowa o pracę jak i umowa o dzieło. Co do sporów to chodzi o te, które zostały </w:t>
      </w:r>
      <w:proofErr w:type="gramStart"/>
      <w:r>
        <w:rPr>
          <w:rFonts w:ascii="Verdana" w:hAnsi="Verdana" w:cs="Helvetica"/>
          <w:color w:val="504E4D"/>
          <w:sz w:val="19"/>
          <w:szCs w:val="19"/>
        </w:rPr>
        <w:t xml:space="preserve">sformalizowane. </w:t>
      </w:r>
      <w:proofErr w:type="gramEnd"/>
      <w:r>
        <w:rPr>
          <w:rFonts w:ascii="Verdana" w:hAnsi="Verdana" w:cs="Helvetica"/>
          <w:color w:val="504E4D"/>
          <w:sz w:val="19"/>
          <w:szCs w:val="19"/>
        </w:rPr>
        <w:t xml:space="preserve">Przykładowo: członek zarządu lub stowarzyszenie nie realizuje zapisów jakiejś umowy, zawartej między nimi, podmioty nie potrafią dojść do porozumienia i jeden z nich postanawia skierować sprawę do sądu. Przepis nie dotyczy naturalnych „sporów” powstających np. w łonie zarządu i polegających na różnicy </w:t>
      </w:r>
      <w:proofErr w:type="gramStart"/>
      <w:r>
        <w:rPr>
          <w:rFonts w:ascii="Verdana" w:hAnsi="Verdana" w:cs="Helvetica"/>
          <w:color w:val="504E4D"/>
          <w:sz w:val="19"/>
          <w:szCs w:val="19"/>
        </w:rPr>
        <w:t>zdań co</w:t>
      </w:r>
      <w:proofErr w:type="gramEnd"/>
      <w:r>
        <w:rPr>
          <w:rFonts w:ascii="Verdana" w:hAnsi="Verdana" w:cs="Helvetica"/>
          <w:color w:val="504E4D"/>
          <w:sz w:val="19"/>
          <w:szCs w:val="19"/>
        </w:rPr>
        <w:t xml:space="preserve"> do wybranej kwestii.</w:t>
      </w:r>
    </w:p>
    <w:p w:rsidR="00153E82" w:rsidRDefault="00153E82" w:rsidP="00153E82">
      <w:pPr>
        <w:pStyle w:val="Nagwek5"/>
        <w:rPr>
          <w:rFonts w:ascii="Verdana" w:hAnsi="Verdana" w:cs="Helvetica"/>
          <w:color w:val="504E4D"/>
          <w:sz w:val="19"/>
          <w:szCs w:val="19"/>
        </w:rPr>
      </w:pPr>
      <w:r>
        <w:rPr>
          <w:rFonts w:ascii="Verdana" w:hAnsi="Verdana" w:cs="Helvetica"/>
          <w:color w:val="504E4D"/>
          <w:sz w:val="19"/>
          <w:szCs w:val="19"/>
        </w:rPr>
        <w:t>Jak zadziała zapis o pełnomocnikach walnego?</w:t>
      </w:r>
    </w:p>
    <w:p w:rsidR="00153E82" w:rsidRDefault="00153E82" w:rsidP="00153E82">
      <w:pPr>
        <w:spacing w:after="240"/>
        <w:rPr>
          <w:rFonts w:ascii="Verdana" w:hAnsi="Verdana" w:cs="Helvetica"/>
          <w:color w:val="504E4D"/>
          <w:sz w:val="19"/>
          <w:szCs w:val="19"/>
        </w:rPr>
      </w:pPr>
      <w:r>
        <w:rPr>
          <w:rFonts w:ascii="Verdana" w:hAnsi="Verdana" w:cs="Helvetica"/>
          <w:color w:val="504E4D"/>
          <w:sz w:val="19"/>
          <w:szCs w:val="19"/>
        </w:rPr>
        <w:t xml:space="preserve">Przyjęta ostatecznie treść przepisu, o </w:t>
      </w:r>
      <w:proofErr w:type="gramStart"/>
      <w:r>
        <w:rPr>
          <w:rFonts w:ascii="Verdana" w:hAnsi="Verdana" w:cs="Helvetica"/>
          <w:color w:val="504E4D"/>
          <w:sz w:val="19"/>
          <w:szCs w:val="19"/>
        </w:rPr>
        <w:t>tym kto</w:t>
      </w:r>
      <w:proofErr w:type="gramEnd"/>
      <w:r>
        <w:rPr>
          <w:rFonts w:ascii="Verdana" w:hAnsi="Verdana" w:cs="Helvetica"/>
          <w:color w:val="504E4D"/>
          <w:sz w:val="19"/>
          <w:szCs w:val="19"/>
        </w:rPr>
        <w:t xml:space="preserve"> ma podpisywać umowy z członkami zarządu, daje stowarzyszeniom dwie alternatywy. </w:t>
      </w:r>
      <w:r>
        <w:rPr>
          <w:rStyle w:val="Pogrubienie"/>
          <w:rFonts w:ascii="Verdana" w:hAnsi="Verdana" w:cs="Helvetica"/>
          <w:color w:val="504E4D"/>
          <w:sz w:val="19"/>
          <w:szCs w:val="19"/>
        </w:rPr>
        <w:t>Pierwsza</w:t>
      </w:r>
      <w:r>
        <w:rPr>
          <w:rFonts w:ascii="Verdana" w:hAnsi="Verdana" w:cs="Helvetica"/>
          <w:color w:val="504E4D"/>
          <w:sz w:val="19"/>
          <w:szCs w:val="19"/>
        </w:rPr>
        <w:t xml:space="preserve"> to wskazanie członka organu kontroli wewnętrznej. Organ ten – najczęściej komisja rewizyjna – wyznacza w uchwale osobę do reprezentowania stowarzyszenia w tym zakresie.</w:t>
      </w:r>
    </w:p>
    <w:p w:rsidR="00153E82" w:rsidRDefault="00153E82" w:rsidP="00153E82">
      <w:pPr>
        <w:spacing w:after="240"/>
        <w:rPr>
          <w:rFonts w:ascii="Verdana" w:hAnsi="Verdana" w:cs="Helvetica"/>
          <w:color w:val="504E4D"/>
          <w:sz w:val="19"/>
          <w:szCs w:val="19"/>
        </w:rPr>
      </w:pPr>
      <w:r>
        <w:rPr>
          <w:rStyle w:val="Pogrubienie"/>
          <w:rFonts w:ascii="Verdana" w:hAnsi="Verdana" w:cs="Helvetica"/>
          <w:color w:val="504E4D"/>
          <w:sz w:val="19"/>
          <w:szCs w:val="19"/>
        </w:rPr>
        <w:t>Druga</w:t>
      </w:r>
      <w:r>
        <w:rPr>
          <w:rFonts w:ascii="Verdana" w:hAnsi="Verdana" w:cs="Helvetica"/>
          <w:color w:val="504E4D"/>
          <w:sz w:val="19"/>
          <w:szCs w:val="19"/>
        </w:rPr>
        <w:t xml:space="preserve"> możliwość to wybranie przedstawiciela przez walne zebranie członków. Walne zebranie nie jest codziennością organizacji. Wiemy z praktyki, że spotkanie wszystkich członków stowarzyszenia następuje "od wielkiego dzwonu". Planując kolejne (najbliższe) walne zebranie członków, </w:t>
      </w:r>
      <w:proofErr w:type="gramStart"/>
      <w:r>
        <w:rPr>
          <w:rFonts w:ascii="Verdana" w:hAnsi="Verdana" w:cs="Helvetica"/>
          <w:color w:val="504E4D"/>
          <w:sz w:val="19"/>
          <w:szCs w:val="19"/>
        </w:rPr>
        <w:t>warto więc</w:t>
      </w:r>
      <w:proofErr w:type="gramEnd"/>
      <w:r>
        <w:rPr>
          <w:rFonts w:ascii="Verdana" w:hAnsi="Verdana" w:cs="Helvetica"/>
          <w:color w:val="504E4D"/>
          <w:sz w:val="19"/>
          <w:szCs w:val="19"/>
        </w:rPr>
        <w:t xml:space="preserve"> pomyśleć o zmianach, jakie wprowadzą nowe przepisy ustawy - Prawo o stowarzyszeniach, dotyczące tej właśnie kompetencji walnego zebrania. Przy najbliższej okazji powołajmy pełnomocników. Większą swobodę i elastyczność w wykorzystaniu funkcji pełnomocnika uzyskamy, jeśli walne wskaże więcej niż jedną osobę, która będzie reprezentowała stowarzyszenie w umowach oraz w sporach z członkiem zarządu.</w:t>
      </w:r>
    </w:p>
    <w:p w:rsidR="00153E82" w:rsidRDefault="00153E82" w:rsidP="00153E82">
      <w:pPr>
        <w:spacing w:after="240"/>
        <w:rPr>
          <w:rFonts w:ascii="Verdana" w:hAnsi="Verdana" w:cs="Helvetica"/>
          <w:color w:val="504E4D"/>
          <w:sz w:val="19"/>
          <w:szCs w:val="19"/>
        </w:rPr>
      </w:pPr>
      <w:r>
        <w:rPr>
          <w:rFonts w:ascii="Verdana" w:hAnsi="Verdana" w:cs="Helvetica"/>
          <w:color w:val="504E4D"/>
          <w:sz w:val="19"/>
          <w:szCs w:val="19"/>
        </w:rPr>
        <w:lastRenderedPageBreak/>
        <w:t>Może się też niestety okazać, że w najbliższym czasie zostaniemy zmuszeni do zwołania walnego tylko z opisanego tu powodu. Warto wtedy pamiętać o alternatywie pierwszej - może wygodniej będzie szukać wsparcia w komisji rewizyjnej. </w:t>
      </w:r>
    </w:p>
    <w:p w:rsidR="00153E82" w:rsidRDefault="00153E82" w:rsidP="00153E82">
      <w:pPr>
        <w:spacing w:after="240"/>
        <w:rPr>
          <w:rFonts w:ascii="Verdana" w:hAnsi="Verdana" w:cs="Helvetica"/>
          <w:color w:val="504E4D"/>
          <w:sz w:val="19"/>
          <w:szCs w:val="19"/>
        </w:rPr>
      </w:pPr>
      <w:hyperlink r:id="rId5" w:tgtFrame="_blank" w:history="1">
        <w:proofErr w:type="gramStart"/>
        <w:r>
          <w:rPr>
            <w:rStyle w:val="Hipercze"/>
            <w:rFonts w:ascii="Verdana" w:hAnsi="Verdana" w:cs="Helvetica"/>
            <w:sz w:val="19"/>
            <w:szCs w:val="19"/>
          </w:rPr>
          <w:t>o</w:t>
        </w:r>
        <w:proofErr w:type="gramEnd"/>
        <w:r>
          <w:rPr>
            <w:rStyle w:val="Hipercze"/>
            <w:rFonts w:ascii="Verdana" w:hAnsi="Verdana" w:cs="Helvetica"/>
            <w:sz w:val="19"/>
            <w:szCs w:val="19"/>
          </w:rPr>
          <w:t xml:space="preserve"> pełnomocnictwach w PORADNIK.NGO.PL: Pełnomocnictwa i oświadczenia w organizacji pozarządowej</w:t>
        </w:r>
      </w:hyperlink>
    </w:p>
    <w:p w:rsidR="00153E82" w:rsidRDefault="00153E82" w:rsidP="00153E82">
      <w:pPr>
        <w:pStyle w:val="Nagwek5"/>
        <w:rPr>
          <w:rFonts w:ascii="Verdana" w:hAnsi="Verdana" w:cs="Helvetica"/>
          <w:color w:val="504E4D"/>
          <w:sz w:val="19"/>
          <w:szCs w:val="19"/>
        </w:rPr>
      </w:pPr>
      <w:r>
        <w:rPr>
          <w:rFonts w:ascii="Verdana" w:hAnsi="Verdana" w:cs="Helvetica"/>
          <w:color w:val="504E4D"/>
          <w:sz w:val="19"/>
          <w:szCs w:val="19"/>
        </w:rPr>
        <w:t xml:space="preserve">Co w statucie - raczej bez </w:t>
      </w:r>
      <w:proofErr w:type="gramStart"/>
      <w:r>
        <w:rPr>
          <w:rFonts w:ascii="Verdana" w:hAnsi="Verdana" w:cs="Helvetica"/>
          <w:color w:val="504E4D"/>
          <w:sz w:val="19"/>
          <w:szCs w:val="19"/>
        </w:rPr>
        <w:t>zmian</w:t>
      </w:r>
      <w:proofErr w:type="gramEnd"/>
    </w:p>
    <w:p w:rsidR="00153E82" w:rsidRDefault="00153E82" w:rsidP="00153E82">
      <w:pPr>
        <w:spacing w:after="240"/>
        <w:rPr>
          <w:rFonts w:ascii="Verdana" w:hAnsi="Verdana" w:cs="Helvetica"/>
          <w:color w:val="504E4D"/>
          <w:sz w:val="19"/>
          <w:szCs w:val="19"/>
        </w:rPr>
      </w:pPr>
      <w:r>
        <w:rPr>
          <w:rFonts w:ascii="Verdana" w:hAnsi="Verdana" w:cs="Helvetica"/>
          <w:color w:val="504E4D"/>
          <w:sz w:val="19"/>
          <w:szCs w:val="19"/>
        </w:rPr>
        <w:t xml:space="preserve">Zasada dotycząca formalnych relacji członek zarządu – stowarzyszenie nie wymaga specjalnej regulacji w statucie. Jak wyraźnie zapisano w art. 11 ust. 4 </w:t>
      </w:r>
      <w:r>
        <w:rPr>
          <w:rStyle w:val="Pogrubienie"/>
          <w:rFonts w:ascii="Verdana" w:hAnsi="Verdana" w:cs="Helvetica"/>
          <w:color w:val="504E4D"/>
          <w:sz w:val="19"/>
          <w:szCs w:val="19"/>
        </w:rPr>
        <w:t>wymagane są uchwały</w:t>
      </w:r>
      <w:r>
        <w:rPr>
          <w:rFonts w:ascii="Verdana" w:hAnsi="Verdana" w:cs="Helvetica"/>
          <w:color w:val="504E4D"/>
          <w:sz w:val="19"/>
          <w:szCs w:val="19"/>
        </w:rPr>
        <w:t xml:space="preserve"> – odpowiednio: walnego zebrania lub organu kontroli (komisji </w:t>
      </w:r>
      <w:proofErr w:type="gramStart"/>
      <w:r>
        <w:rPr>
          <w:rFonts w:ascii="Verdana" w:hAnsi="Verdana" w:cs="Helvetica"/>
          <w:color w:val="504E4D"/>
          <w:sz w:val="19"/>
          <w:szCs w:val="19"/>
        </w:rPr>
        <w:t>rewizyjnej).</w:t>
      </w:r>
      <w:proofErr w:type="gramEnd"/>
    </w:p>
    <w:p w:rsidR="00153E82" w:rsidRDefault="00153E82" w:rsidP="00153E82">
      <w:pPr>
        <w:spacing w:after="240"/>
        <w:rPr>
          <w:rFonts w:ascii="Verdana" w:hAnsi="Verdana" w:cs="Helvetica"/>
          <w:color w:val="504E4D"/>
          <w:sz w:val="19"/>
          <w:szCs w:val="19"/>
        </w:rPr>
      </w:pPr>
      <w:r>
        <w:rPr>
          <w:rFonts w:ascii="Verdana" w:hAnsi="Verdana" w:cs="Helvetica"/>
          <w:color w:val="504E4D"/>
          <w:sz w:val="19"/>
          <w:szCs w:val="19"/>
        </w:rPr>
        <w:t xml:space="preserve">Zmiana w statucie może być potrzebna, ale tylko w </w:t>
      </w:r>
      <w:proofErr w:type="gramStart"/>
      <w:r>
        <w:rPr>
          <w:rFonts w:ascii="Verdana" w:hAnsi="Verdana" w:cs="Helvetica"/>
          <w:color w:val="504E4D"/>
          <w:sz w:val="19"/>
          <w:szCs w:val="19"/>
        </w:rPr>
        <w:t>sytuacji kiedy</w:t>
      </w:r>
      <w:proofErr w:type="gramEnd"/>
      <w:r>
        <w:rPr>
          <w:rFonts w:ascii="Verdana" w:hAnsi="Verdana" w:cs="Helvetica"/>
          <w:color w:val="504E4D"/>
          <w:sz w:val="19"/>
          <w:szCs w:val="19"/>
        </w:rPr>
        <w:t xml:space="preserve"> już wcześniej postanowiliśmy tę kwestię w nim uregulować i regulacja ta (nasz sposób na podpisywanie umów i występowanie w sporach z członkami zarządu) nie odpowiada modelowi, który zaproponował teraz ustawodawca, i który zacznie obowiązywać 20 maja 2016 r.</w:t>
      </w:r>
    </w:p>
    <w:p w:rsidR="00153E82" w:rsidRDefault="00153E82" w:rsidP="00153E82"/>
    <w:p w:rsidR="00083748" w:rsidRPr="00153E82" w:rsidRDefault="00153E82" w:rsidP="00153E82">
      <w:pPr>
        <w:jc w:val="left"/>
        <w:rPr>
          <w:i/>
        </w:rPr>
      </w:pPr>
      <w:r w:rsidRPr="00153E82">
        <w:rPr>
          <w:i/>
        </w:rPr>
        <w:t>Źródła: http</w:t>
      </w:r>
      <w:proofErr w:type="gramStart"/>
      <w:r w:rsidRPr="00153E82">
        <w:rPr>
          <w:i/>
        </w:rPr>
        <w:t>://poradnik</w:t>
      </w:r>
      <w:proofErr w:type="gramEnd"/>
      <w:r w:rsidRPr="00153E82">
        <w:rPr>
          <w:i/>
        </w:rPr>
        <w:t>.</w:t>
      </w:r>
      <w:proofErr w:type="gramStart"/>
      <w:r w:rsidRPr="00153E82">
        <w:rPr>
          <w:i/>
        </w:rPr>
        <w:t>ngo</w:t>
      </w:r>
      <w:proofErr w:type="gramEnd"/>
      <w:r w:rsidRPr="00153E82">
        <w:rPr>
          <w:i/>
        </w:rPr>
        <w:t>.</w:t>
      </w:r>
      <w:proofErr w:type="gramStart"/>
      <w:r w:rsidRPr="00153E82">
        <w:rPr>
          <w:i/>
        </w:rPr>
        <w:t>pl</w:t>
      </w:r>
      <w:proofErr w:type="gramEnd"/>
      <w:r w:rsidRPr="00153E82">
        <w:rPr>
          <w:i/>
        </w:rPr>
        <w:t>/wiadomosc/1909291.</w:t>
      </w:r>
      <w:proofErr w:type="gramStart"/>
      <w:r w:rsidRPr="00153E82">
        <w:rPr>
          <w:i/>
        </w:rPr>
        <w:t>html</w:t>
      </w:r>
      <w:proofErr w:type="gramEnd"/>
    </w:p>
    <w:sectPr w:rsidR="00083748" w:rsidRPr="00153E82" w:rsidSect="0008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3E82"/>
    <w:rsid w:val="00083748"/>
    <w:rsid w:val="001016FB"/>
    <w:rsid w:val="00153E82"/>
    <w:rsid w:val="002D0D89"/>
    <w:rsid w:val="006155CB"/>
    <w:rsid w:val="006B786C"/>
    <w:rsid w:val="00787B94"/>
    <w:rsid w:val="00A616C1"/>
    <w:rsid w:val="00DC55D5"/>
    <w:rsid w:val="00F7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E82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3E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153E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153E8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53E82"/>
    <w:rPr>
      <w:strike w:val="0"/>
      <w:dstrike w:val="0"/>
      <w:color w:val="B62B6A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adnik.ngo.pl/pelnomocnictwa-oswiadczenia" TargetMode="External"/><Relationship Id="rId4" Type="http://schemas.openxmlformats.org/officeDocument/2006/relationships/hyperlink" Target="http://www.poradnik.ngo.pl/wiadomosc/167730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700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EsteraM</dc:creator>
  <cp:lastModifiedBy>EsteraM</cp:lastModifiedBy>
  <cp:revision>1</cp:revision>
  <dcterms:created xsi:type="dcterms:W3CDTF">2017-10-27T07:13:00Z</dcterms:created>
  <dcterms:modified xsi:type="dcterms:W3CDTF">2017-10-27T07:18:00Z</dcterms:modified>
</cp:coreProperties>
</file>